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67A9" w:rsidRDefault="00DF7B44" w:rsidP="008467A9">
      <w:pPr>
        <w:rPr>
          <w:rFonts w:ascii="Calibri" w:hAnsi="Calibri" w:cs="Times New Roman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100EE" wp14:editId="19DD79AA">
                <wp:simplePos x="0" y="0"/>
                <wp:positionH relativeFrom="column">
                  <wp:posOffset>1970868</wp:posOffset>
                </wp:positionH>
                <wp:positionV relativeFrom="paragraph">
                  <wp:posOffset>290195</wp:posOffset>
                </wp:positionV>
                <wp:extent cx="3243134" cy="1461701"/>
                <wp:effectExtent l="0" t="0" r="0" b="57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3134" cy="14617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8E7" w:rsidRDefault="006208E7" w:rsidP="00DF7B44">
                            <w:pPr>
                              <w:jc w:val="center"/>
                              <w:rPr>
                                <w:rFonts w:ascii="Cambria" w:hAnsi="Cambria" w:cs="Times New Roman"/>
                                <w:sz w:val="44"/>
                                <w:szCs w:val="32"/>
                              </w:rPr>
                            </w:pPr>
                          </w:p>
                          <w:p w:rsidR="006208E7" w:rsidRDefault="00DF7B44" w:rsidP="00DF7B44">
                            <w:pPr>
                              <w:jc w:val="center"/>
                              <w:rPr>
                                <w:rFonts w:ascii="Cambria" w:hAnsi="Cambria" w:cs="Times New Roman"/>
                                <w:sz w:val="44"/>
                                <w:szCs w:val="32"/>
                              </w:rPr>
                            </w:pPr>
                            <w:r w:rsidRPr="009F5133">
                              <w:rPr>
                                <w:rFonts w:ascii="Cambria" w:hAnsi="Cambria" w:cs="Times New Roman"/>
                                <w:sz w:val="44"/>
                                <w:szCs w:val="32"/>
                              </w:rPr>
                              <w:t xml:space="preserve">Supporting Communities </w:t>
                            </w:r>
                          </w:p>
                          <w:p w:rsidR="006208E7" w:rsidRDefault="006208E7" w:rsidP="00DF7B44">
                            <w:pPr>
                              <w:jc w:val="center"/>
                              <w:rPr>
                                <w:rFonts w:ascii="Cambria" w:hAnsi="Cambria" w:cs="Times New Roman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sz w:val="44"/>
                                <w:szCs w:val="32"/>
                              </w:rPr>
                              <w:t xml:space="preserve">In Implementing </w:t>
                            </w:r>
                          </w:p>
                          <w:p w:rsidR="00DF7B44" w:rsidRPr="009F5133" w:rsidRDefault="006208E7" w:rsidP="00DF7B44">
                            <w:pPr>
                              <w:jc w:val="center"/>
                              <w:rPr>
                                <w:rFonts w:ascii="Cambria" w:hAnsi="Cambria" w:cs="Times New Roman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sz w:val="44"/>
                                <w:szCs w:val="32"/>
                              </w:rPr>
                              <w:t xml:space="preserve">The </w:t>
                            </w:r>
                            <w:r w:rsidR="00DF7B44" w:rsidRPr="009F5133">
                              <w:rPr>
                                <w:rFonts w:ascii="Cambria" w:hAnsi="Cambria" w:cs="Times New Roman"/>
                                <w:sz w:val="44"/>
                                <w:szCs w:val="32"/>
                              </w:rPr>
                              <w:t>Common Core</w:t>
                            </w:r>
                          </w:p>
                          <w:p w:rsidR="00DF7B44" w:rsidRDefault="00DF7B44" w:rsidP="00DF7B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5.2pt;margin-top:22.85pt;width:255.35pt;height:11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" fillcolor="white [3201]" stroked="f" strokeweight="2pt">
                <v:textbox>
                  <w:txbxContent>
                    <w:p w:rsidR="006208E7" w:rsidRDefault="006208E7" w:rsidP="00DF7B44">
                      <w:pPr>
                        <w:jc w:val="center"/>
                        <w:rPr>
                          <w:rFonts w:ascii="Cambria" w:hAnsi="Cambria" w:cs="Times New Roman"/>
                          <w:sz w:val="44"/>
                          <w:szCs w:val="32"/>
                        </w:rPr>
                      </w:pPr>
                    </w:p>
                    <w:p w:rsidR="006208E7" w:rsidRDefault="00DF7B44" w:rsidP="00DF7B44">
                      <w:pPr>
                        <w:jc w:val="center"/>
                        <w:rPr>
                          <w:rFonts w:ascii="Cambria" w:hAnsi="Cambria" w:cs="Times New Roman"/>
                          <w:sz w:val="44"/>
                          <w:szCs w:val="32"/>
                        </w:rPr>
                      </w:pPr>
                      <w:r w:rsidRPr="009F5133">
                        <w:rPr>
                          <w:rFonts w:ascii="Cambria" w:hAnsi="Cambria" w:cs="Times New Roman"/>
                          <w:sz w:val="44"/>
                          <w:szCs w:val="32"/>
                        </w:rPr>
                        <w:t xml:space="preserve">Supporting Communities </w:t>
                      </w:r>
                    </w:p>
                    <w:p w:rsidR="006208E7" w:rsidRDefault="006208E7" w:rsidP="00DF7B44">
                      <w:pPr>
                        <w:jc w:val="center"/>
                        <w:rPr>
                          <w:rFonts w:ascii="Cambria" w:hAnsi="Cambria" w:cs="Times New Roman"/>
                          <w:sz w:val="44"/>
                          <w:szCs w:val="32"/>
                        </w:rPr>
                      </w:pPr>
                      <w:r>
                        <w:rPr>
                          <w:rFonts w:ascii="Cambria" w:hAnsi="Cambria" w:cs="Times New Roman"/>
                          <w:sz w:val="44"/>
                          <w:szCs w:val="32"/>
                        </w:rPr>
                        <w:t xml:space="preserve">In Implementing </w:t>
                      </w:r>
                    </w:p>
                    <w:p w:rsidR="00DF7B44" w:rsidRPr="009F5133" w:rsidRDefault="006208E7" w:rsidP="00DF7B44">
                      <w:pPr>
                        <w:jc w:val="center"/>
                        <w:rPr>
                          <w:rFonts w:ascii="Cambria" w:hAnsi="Cambria" w:cs="Times New Roman"/>
                          <w:sz w:val="44"/>
                          <w:szCs w:val="32"/>
                        </w:rPr>
                      </w:pPr>
                      <w:r>
                        <w:rPr>
                          <w:rFonts w:ascii="Cambria" w:hAnsi="Cambria" w:cs="Times New Roman"/>
                          <w:sz w:val="44"/>
                          <w:szCs w:val="32"/>
                        </w:rPr>
                        <w:t xml:space="preserve">The </w:t>
                      </w:r>
                      <w:r w:rsidR="00DF7B44" w:rsidRPr="009F5133">
                        <w:rPr>
                          <w:rFonts w:ascii="Cambria" w:hAnsi="Cambria" w:cs="Times New Roman"/>
                          <w:sz w:val="44"/>
                          <w:szCs w:val="32"/>
                        </w:rPr>
                        <w:t>Common Core</w:t>
                      </w:r>
                    </w:p>
                    <w:p w:rsidR="00DF7B44" w:rsidRDefault="00DF7B44" w:rsidP="00DF7B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467A9" w:rsidRPr="008467A9">
        <w:rPr>
          <w:rFonts w:ascii="Calibri" w:eastAsia="Times New Roman" w:hAnsi="Calibri" w:cs="Times New Roman"/>
          <w:sz w:val="24"/>
          <w:szCs w:val="24"/>
        </w:rPr>
        <w:br/>
      </w:r>
      <w:r>
        <w:rPr>
          <w:rFonts w:ascii="Calibri" w:eastAsia="Times New Roman" w:hAnsi="Calibri" w:cs="Times New Roman"/>
          <w:noProof/>
          <w:color w:val="0000FF"/>
          <w:sz w:val="28"/>
          <w:szCs w:val="28"/>
          <w:u w:val="single"/>
        </w:rPr>
        <w:drawing>
          <wp:inline distT="0" distB="0" distL="0" distR="0" wp14:anchorId="521B9CE8" wp14:editId="085F403C">
            <wp:extent cx="1606378" cy="1531831"/>
            <wp:effectExtent l="0" t="0" r="0" b="0"/>
            <wp:docPr id="9" name="Picture 9" descr="C:\Users\lperry\AppData\Local\Microsoft\Windows\Temporary Internet Files\Content.IE5\L2HNB83M\MC91021699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perry\AppData\Local\Microsoft\Windows\Temporary Internet Files\Content.IE5\L2HNB83M\MC91021699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995" cy="153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7A9" w:rsidRPr="008467A9">
        <w:rPr>
          <w:rFonts w:ascii="Calibri" w:eastAsia="Times New Roman" w:hAnsi="Calibri" w:cs="Times New Roman"/>
          <w:color w:val="0000FF"/>
          <w:sz w:val="28"/>
          <w:szCs w:val="28"/>
          <w:u w:val="single"/>
        </w:rPr>
        <w:br/>
      </w:r>
    </w:p>
    <w:p w:rsidR="009F5133" w:rsidRDefault="009F5133" w:rsidP="00DF7B44">
      <w:pPr>
        <w:tabs>
          <w:tab w:val="left" w:pos="9450"/>
        </w:tabs>
        <w:ind w:right="-90"/>
        <w:rPr>
          <w:rFonts w:ascii="Cambria" w:hAnsi="Cambria" w:cs="Times New Roman"/>
          <w:sz w:val="24"/>
          <w:szCs w:val="32"/>
        </w:rPr>
      </w:pPr>
      <w:r w:rsidRPr="000F053E">
        <w:rPr>
          <w:rFonts w:ascii="Cambria" w:hAnsi="Cambria" w:cs="Times New Roman"/>
          <w:sz w:val="24"/>
          <w:szCs w:val="32"/>
        </w:rPr>
        <w:t>One important aspect of successfully implementing the Common Core is leveraging the support of our entire communities. Many districts are hosting community events around the modules and/or the Common Core in general. Here are some resources to help organize those functions:</w:t>
      </w:r>
    </w:p>
    <w:p w:rsidR="000F053E" w:rsidRPr="000F053E" w:rsidRDefault="000F053E" w:rsidP="00DF7B44">
      <w:pPr>
        <w:tabs>
          <w:tab w:val="left" w:pos="9450"/>
        </w:tabs>
        <w:ind w:right="-90"/>
        <w:rPr>
          <w:rFonts w:ascii="Cambria" w:hAnsi="Cambria" w:cs="Times New Roman"/>
          <w:sz w:val="24"/>
          <w:szCs w:val="32"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1908"/>
        <w:gridCol w:w="90"/>
        <w:gridCol w:w="3600"/>
        <w:gridCol w:w="4860"/>
      </w:tblGrid>
      <w:tr w:rsidR="00F443BE" w:rsidTr="00294D66">
        <w:tc>
          <w:tcPr>
            <w:tcW w:w="10458" w:type="dxa"/>
            <w:gridSpan w:val="4"/>
            <w:shd w:val="clear" w:color="auto" w:fill="D9D9D9" w:themeFill="background1" w:themeFillShade="D9"/>
          </w:tcPr>
          <w:p w:rsidR="00F443BE" w:rsidRPr="00F443BE" w:rsidRDefault="00A74F03" w:rsidP="00F443BE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Resources About The </w:t>
            </w:r>
            <w:r w:rsidR="00F443BE">
              <w:rPr>
                <w:rFonts w:ascii="Cambria" w:hAnsi="Cambria" w:cs="Times New Roman"/>
                <w:b/>
                <w:sz w:val="24"/>
                <w:szCs w:val="24"/>
              </w:rPr>
              <w:t xml:space="preserve">Common Core 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Learning Standards </w:t>
            </w:r>
            <w:r w:rsidR="00F443BE">
              <w:rPr>
                <w:rFonts w:ascii="Cambria" w:hAnsi="Cambria" w:cs="Times New Roman"/>
                <w:b/>
                <w:sz w:val="24"/>
                <w:szCs w:val="24"/>
              </w:rPr>
              <w:t>In General</w:t>
            </w:r>
          </w:p>
        </w:tc>
      </w:tr>
      <w:tr w:rsidR="00F22F67" w:rsidTr="00116CEB">
        <w:tc>
          <w:tcPr>
            <w:tcW w:w="1908" w:type="dxa"/>
          </w:tcPr>
          <w:p w:rsidR="00F22F67" w:rsidRPr="006208E7" w:rsidRDefault="004674A3" w:rsidP="0003567E">
            <w:pPr>
              <w:ind w:left="90"/>
              <w:rPr>
                <w:rFonts w:ascii="Cambria" w:eastAsia="Times New Roman" w:hAnsi="Cambria" w:cs="Times New Roman"/>
                <w:sz w:val="18"/>
                <w:szCs w:val="24"/>
              </w:rPr>
            </w:pPr>
            <w:hyperlink r:id="rId8" w:history="1">
              <w:r w:rsidR="00F22F67" w:rsidRPr="006208E7">
                <w:rPr>
                  <w:rStyle w:val="Hyperlink"/>
                  <w:rFonts w:ascii="Cambria" w:eastAsia="Times New Roman" w:hAnsi="Cambria" w:cs="Times New Roman"/>
                  <w:sz w:val="18"/>
                  <w:szCs w:val="24"/>
                </w:rPr>
                <w:t>http://www.engageny.org/resource/planning-a-parent-workshop-toolkit-for-parent-engagement</w:t>
              </w:r>
            </w:hyperlink>
          </w:p>
        </w:tc>
        <w:tc>
          <w:tcPr>
            <w:tcW w:w="3690" w:type="dxa"/>
            <w:gridSpan w:val="2"/>
          </w:tcPr>
          <w:p w:rsidR="00F22F67" w:rsidRPr="006208E7" w:rsidRDefault="00F22F67" w:rsidP="0003567E">
            <w:pPr>
              <w:spacing w:before="100" w:beforeAutospacing="1" w:after="100" w:afterAutospacing="1"/>
              <w:ind w:left="360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This is</w:t>
            </w:r>
            <w:r w:rsidRPr="006208E7">
              <w:rPr>
                <w:rFonts w:ascii="Cambria" w:eastAsia="Times New Roman" w:hAnsi="Cambria" w:cs="Times New Roman"/>
                <w:sz w:val="24"/>
                <w:szCs w:val="24"/>
              </w:rPr>
              <w:t xml:space="preserve"> toolkit for parent nights on EngageNY (complete with 'to do' list, agenda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and power point presentations). </w:t>
            </w:r>
            <w:r w:rsidRPr="006208E7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</w:tcPr>
          <w:p w:rsidR="00F22F67" w:rsidRPr="00A74F03" w:rsidRDefault="00F22F67" w:rsidP="00A74F03">
            <w:pPr>
              <w:ind w:left="36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74F03" w:rsidTr="00116CEB">
        <w:tc>
          <w:tcPr>
            <w:tcW w:w="1908" w:type="dxa"/>
          </w:tcPr>
          <w:p w:rsidR="00A74F03" w:rsidRPr="006208E7" w:rsidRDefault="004674A3" w:rsidP="0003567E">
            <w:pPr>
              <w:ind w:left="90"/>
              <w:rPr>
                <w:rFonts w:ascii="Cambria" w:hAnsi="Cambria" w:cs="Times New Roman"/>
                <w:sz w:val="18"/>
                <w:szCs w:val="24"/>
              </w:rPr>
            </w:pPr>
            <w:hyperlink r:id="rId9" w:history="1">
              <w:r w:rsidR="00A74F03" w:rsidRPr="006208E7">
                <w:rPr>
                  <w:rStyle w:val="Hyperlink"/>
                  <w:rFonts w:ascii="Cambria" w:eastAsia="Times New Roman" w:hAnsi="Cambria" w:cs="Times New Roman"/>
                  <w:sz w:val="18"/>
                  <w:szCs w:val="24"/>
                </w:rPr>
                <w:t>http://www.engageny.org/parent-and-family-resources</w:t>
              </w:r>
            </w:hyperlink>
          </w:p>
        </w:tc>
        <w:tc>
          <w:tcPr>
            <w:tcW w:w="3690" w:type="dxa"/>
            <w:gridSpan w:val="2"/>
          </w:tcPr>
          <w:p w:rsidR="00A74F03" w:rsidRPr="006208E7" w:rsidRDefault="00A74F03" w:rsidP="0003567E">
            <w:pPr>
              <w:spacing w:before="100" w:beforeAutospacing="1" w:after="100" w:afterAutospacing="1"/>
              <w:ind w:left="36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208E7">
              <w:rPr>
                <w:rFonts w:ascii="Cambria" w:eastAsia="Times New Roman" w:hAnsi="Cambria" w:cs="Times New Roman"/>
                <w:sz w:val="24"/>
                <w:szCs w:val="24"/>
              </w:rPr>
              <w:t xml:space="preserve">This 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>link has a variety of resources, including a Backp</w:t>
            </w:r>
            <w:r w:rsidR="00116CEB">
              <w:rPr>
                <w:rFonts w:ascii="Cambria" w:eastAsia="Times New Roman" w:hAnsi="Cambria" w:cs="Times New Roman"/>
                <w:sz w:val="24"/>
                <w:szCs w:val="24"/>
              </w:rPr>
              <w:t>ack Guide on the Common Core (not grade specific)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, </w:t>
            </w:r>
            <w:r w:rsidRPr="006208E7">
              <w:rPr>
                <w:rFonts w:ascii="Cambria" w:hAnsi="Cambria" w:cs="Times New Roman"/>
                <w:sz w:val="24"/>
                <w:szCs w:val="24"/>
              </w:rPr>
              <w:t>Commissioner King video</w:t>
            </w:r>
            <w:r>
              <w:rPr>
                <w:rFonts w:ascii="Cambria" w:hAnsi="Cambria" w:cs="Times New Roman"/>
                <w:sz w:val="24"/>
                <w:szCs w:val="24"/>
              </w:rPr>
              <w:t>s, p</w:t>
            </w:r>
            <w:r w:rsidRPr="006208E7">
              <w:rPr>
                <w:rFonts w:ascii="Cambria" w:hAnsi="Cambria" w:cs="Times New Roman"/>
                <w:sz w:val="24"/>
                <w:szCs w:val="24"/>
              </w:rPr>
              <w:t>arent brochures, FAQ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documents, and a toolkit for family engagement e</w:t>
            </w:r>
            <w:r w:rsidR="00116CEB">
              <w:rPr>
                <w:rFonts w:ascii="Cambria" w:hAnsi="Cambria" w:cs="Times New Roman"/>
                <w:sz w:val="24"/>
                <w:szCs w:val="24"/>
              </w:rPr>
              <w:t>vents</w:t>
            </w:r>
            <w:r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A74F03" w:rsidRPr="00A74F03" w:rsidRDefault="00A74F03" w:rsidP="00A74F03">
            <w:pPr>
              <w:ind w:left="36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74F03" w:rsidTr="00116CEB">
        <w:tc>
          <w:tcPr>
            <w:tcW w:w="1908" w:type="dxa"/>
          </w:tcPr>
          <w:p w:rsidR="00A74F03" w:rsidRPr="00F51AEF" w:rsidRDefault="00F51AEF" w:rsidP="000868CC">
            <w:pPr>
              <w:spacing w:before="100" w:beforeAutospacing="1" w:after="100" w:afterAutospacing="1"/>
              <w:ind w:left="90"/>
              <w:rPr>
                <w:rFonts w:ascii="Cambria" w:eastAsia="Times New Roman" w:hAnsi="Cambria" w:cs="Times New Roman"/>
                <w:sz w:val="18"/>
                <w:szCs w:val="24"/>
              </w:rPr>
            </w:pPr>
            <w:hyperlink r:id="rId10" w:history="1">
              <w:r w:rsidR="00A74F03" w:rsidRPr="00F51AEF">
                <w:rPr>
                  <w:rStyle w:val="Hyperlink"/>
                  <w:rFonts w:ascii="Cambria" w:hAnsi="Cambria" w:cs="Times New Roman"/>
                  <w:sz w:val="18"/>
                  <w:szCs w:val="24"/>
                </w:rPr>
                <w:t>http://www.engageny.org/sites/default/files/resource/attachments/parent_workshop_common_core_resources_for_parents_to_learn_more.pdf</w:t>
              </w:r>
            </w:hyperlink>
          </w:p>
        </w:tc>
        <w:tc>
          <w:tcPr>
            <w:tcW w:w="3690" w:type="dxa"/>
            <w:gridSpan w:val="2"/>
          </w:tcPr>
          <w:p w:rsidR="00A74F03" w:rsidRPr="00F51AEF" w:rsidRDefault="00A74F03" w:rsidP="000868CC">
            <w:pPr>
              <w:spacing w:before="100" w:beforeAutospacing="1" w:after="100" w:afterAutospacing="1"/>
              <w:ind w:left="36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51AEF">
              <w:rPr>
                <w:rFonts w:ascii="Cambria" w:hAnsi="Cambria" w:cs="Times New Roman"/>
                <w:sz w:val="24"/>
                <w:szCs w:val="24"/>
              </w:rPr>
              <w:t>This link takes you to a state-provided bank of national resources.</w:t>
            </w:r>
          </w:p>
        </w:tc>
        <w:tc>
          <w:tcPr>
            <w:tcW w:w="4860" w:type="dxa"/>
          </w:tcPr>
          <w:p w:rsidR="00A74F03" w:rsidRPr="00A74F03" w:rsidRDefault="00A74F03" w:rsidP="00A74F03">
            <w:pPr>
              <w:ind w:left="36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74F03" w:rsidTr="00116CEB">
        <w:tc>
          <w:tcPr>
            <w:tcW w:w="1908" w:type="dxa"/>
          </w:tcPr>
          <w:p w:rsidR="00A74F03" w:rsidRPr="006208E7" w:rsidRDefault="004674A3" w:rsidP="000868CC">
            <w:pPr>
              <w:spacing w:before="100" w:beforeAutospacing="1" w:after="100" w:afterAutospacing="1"/>
              <w:ind w:left="90"/>
              <w:rPr>
                <w:rFonts w:ascii="Cambria" w:eastAsia="Times New Roman" w:hAnsi="Cambria" w:cs="Times New Roman"/>
                <w:sz w:val="18"/>
                <w:szCs w:val="24"/>
              </w:rPr>
            </w:pPr>
            <w:hyperlink r:id="rId11" w:history="1">
              <w:r w:rsidR="00A74F03" w:rsidRPr="006208E7">
                <w:rPr>
                  <w:rStyle w:val="Hyperlink"/>
                  <w:rFonts w:ascii="Cambria" w:eastAsia="Times New Roman" w:hAnsi="Cambria" w:cs="Times New Roman"/>
                  <w:sz w:val="18"/>
                  <w:szCs w:val="24"/>
                </w:rPr>
                <w:t>http://www.cgcs.org/Page/244</w:t>
              </w:r>
            </w:hyperlink>
          </w:p>
          <w:p w:rsidR="00A74F03" w:rsidRPr="006208E7" w:rsidRDefault="00A74F03" w:rsidP="000868CC">
            <w:pPr>
              <w:pStyle w:val="ListParagraph"/>
              <w:spacing w:before="100" w:beforeAutospacing="1" w:after="100" w:afterAutospacing="1"/>
              <w:ind w:left="90"/>
              <w:rPr>
                <w:rFonts w:ascii="Cambria" w:hAnsi="Cambria" w:cs="Times New Roman"/>
                <w:sz w:val="18"/>
                <w:szCs w:val="24"/>
              </w:rPr>
            </w:pPr>
          </w:p>
          <w:p w:rsidR="00A74F03" w:rsidRPr="006208E7" w:rsidRDefault="00A74F03" w:rsidP="000868CC">
            <w:pPr>
              <w:spacing w:before="100" w:beforeAutospacing="1" w:after="100" w:afterAutospacing="1"/>
              <w:ind w:left="90"/>
              <w:rPr>
                <w:rFonts w:ascii="Cambria" w:eastAsia="Times New Roman" w:hAnsi="Cambria" w:cs="Times New Roman"/>
                <w:sz w:val="18"/>
                <w:szCs w:val="24"/>
              </w:rPr>
            </w:pPr>
          </w:p>
        </w:tc>
        <w:tc>
          <w:tcPr>
            <w:tcW w:w="3690" w:type="dxa"/>
            <w:gridSpan w:val="2"/>
          </w:tcPr>
          <w:p w:rsidR="00116CEB" w:rsidRPr="00F22F67" w:rsidRDefault="00A74F03" w:rsidP="000868CC">
            <w:pPr>
              <w:spacing w:before="100" w:beforeAutospacing="1" w:after="100" w:afterAutospacing="1"/>
              <w:ind w:left="360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These are </w:t>
            </w:r>
            <w:r w:rsidR="00F22F67">
              <w:rPr>
                <w:rFonts w:ascii="Cambria" w:eastAsia="Times New Roman" w:hAnsi="Cambria" w:cs="Times New Roman"/>
                <w:sz w:val="24"/>
                <w:szCs w:val="24"/>
              </w:rPr>
              <w:t>Parent Roadmaps</w:t>
            </w:r>
            <w:r w:rsidRPr="006208E7">
              <w:rPr>
                <w:rFonts w:ascii="Cambria" w:eastAsia="Times New Roman" w:hAnsi="Cambria" w:cs="Times New Roman"/>
                <w:sz w:val="24"/>
                <w:szCs w:val="24"/>
              </w:rPr>
              <w:t>, by grade level (Kindergarten through high school), that sum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>m</w:t>
            </w:r>
            <w:r w:rsidRPr="006208E7">
              <w:rPr>
                <w:rFonts w:ascii="Cambria" w:eastAsia="Times New Roman" w:hAnsi="Cambria" w:cs="Times New Roman"/>
                <w:sz w:val="24"/>
                <w:szCs w:val="24"/>
              </w:rPr>
              <w:t>ariz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>e student learning for the year</w:t>
            </w:r>
            <w:r w:rsidR="00F22F67">
              <w:rPr>
                <w:rFonts w:ascii="Cambria" w:eastAsia="Times New Roman" w:hAnsi="Cambria" w:cs="Times New Roman"/>
                <w:sz w:val="24"/>
                <w:szCs w:val="24"/>
              </w:rPr>
              <w:t xml:space="preserve"> as well as show a visual of the year before and after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. There are several versions out there to choose from (PTA, CGCS, </w:t>
            </w:r>
            <w:proofErr w:type="gramStart"/>
            <w:r>
              <w:rPr>
                <w:rFonts w:ascii="Cambria" w:eastAsia="Times New Roman" w:hAnsi="Cambria" w:cs="Times New Roman"/>
                <w:sz w:val="24"/>
                <w:szCs w:val="24"/>
              </w:rPr>
              <w:t>NYSUT</w:t>
            </w:r>
            <w:proofErr w:type="gramEnd"/>
            <w:r>
              <w:rPr>
                <w:rFonts w:ascii="Cambria" w:eastAsia="Times New Roman" w:hAnsi="Cambria" w:cs="Times New Roman"/>
                <w:sz w:val="24"/>
                <w:szCs w:val="24"/>
              </w:rPr>
              <w:t>).</w:t>
            </w:r>
          </w:p>
        </w:tc>
        <w:tc>
          <w:tcPr>
            <w:tcW w:w="4860" w:type="dxa"/>
          </w:tcPr>
          <w:p w:rsidR="00A74F03" w:rsidRPr="00A74F03" w:rsidRDefault="00A74F03" w:rsidP="00A74F03">
            <w:pPr>
              <w:ind w:left="36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74F03" w:rsidTr="00116CEB">
        <w:tc>
          <w:tcPr>
            <w:tcW w:w="1908" w:type="dxa"/>
          </w:tcPr>
          <w:p w:rsidR="00A74F03" w:rsidRPr="006208E7" w:rsidRDefault="004674A3" w:rsidP="000868CC">
            <w:pPr>
              <w:spacing w:before="100" w:beforeAutospacing="1" w:after="100" w:afterAutospacing="1"/>
              <w:ind w:left="90"/>
              <w:rPr>
                <w:rFonts w:ascii="Cambria" w:hAnsi="Cambria" w:cs="Times New Roman"/>
                <w:sz w:val="18"/>
                <w:szCs w:val="24"/>
              </w:rPr>
            </w:pPr>
            <w:hyperlink r:id="rId12" w:history="1">
              <w:r w:rsidR="00A74F03" w:rsidRPr="004C39CB">
                <w:rPr>
                  <w:rStyle w:val="Hyperlink"/>
                  <w:rFonts w:ascii="Cambria" w:hAnsi="Cambria" w:cs="Times New Roman"/>
                  <w:sz w:val="18"/>
                  <w:szCs w:val="24"/>
                </w:rPr>
                <w:t>http://www.nysut.org/resources/all-listing/2013/august/parents-guide-to-common-core-learning-standards</w:t>
              </w:r>
            </w:hyperlink>
            <w:r w:rsidR="00A74F03">
              <w:rPr>
                <w:rFonts w:ascii="Cambria" w:hAnsi="Cambria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3690" w:type="dxa"/>
            <w:gridSpan w:val="2"/>
          </w:tcPr>
          <w:p w:rsidR="00A74F03" w:rsidRDefault="00A74F03" w:rsidP="000868CC">
            <w:pPr>
              <w:spacing w:before="100" w:after="100"/>
              <w:ind w:left="36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This is a link to the NYSUT </w:t>
            </w:r>
            <w:r w:rsidR="007131F7">
              <w:rPr>
                <w:rFonts w:ascii="Cambria" w:hAnsi="Cambria" w:cs="Times New Roman"/>
                <w:sz w:val="24"/>
                <w:szCs w:val="24"/>
              </w:rPr>
              <w:t xml:space="preserve">Parent’s 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Guide to the Common Core. </w:t>
            </w:r>
          </w:p>
          <w:p w:rsidR="00F22F67" w:rsidRDefault="00F22F67" w:rsidP="000868CC">
            <w:pPr>
              <w:spacing w:before="100" w:after="100"/>
              <w:ind w:left="360"/>
              <w:rPr>
                <w:rFonts w:ascii="Cambria" w:hAnsi="Cambria" w:cs="Times New Roman"/>
                <w:sz w:val="24"/>
                <w:szCs w:val="24"/>
              </w:rPr>
            </w:pPr>
          </w:p>
          <w:p w:rsidR="00116CEB" w:rsidRPr="00F176A6" w:rsidRDefault="00116CEB" w:rsidP="000868CC">
            <w:pPr>
              <w:spacing w:before="100" w:after="100"/>
              <w:ind w:left="36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74F03" w:rsidRPr="00A74F03" w:rsidRDefault="00A74F03" w:rsidP="00A74F03">
            <w:pPr>
              <w:ind w:left="360"/>
              <w:rPr>
                <w:rFonts w:ascii="Cambria" w:hAnsi="Cambria" w:cs="Times New Roman"/>
                <w:sz w:val="32"/>
                <w:szCs w:val="32"/>
              </w:rPr>
            </w:pPr>
          </w:p>
        </w:tc>
      </w:tr>
      <w:tr w:rsidR="00A74F03" w:rsidTr="00294D66">
        <w:tc>
          <w:tcPr>
            <w:tcW w:w="10458" w:type="dxa"/>
            <w:gridSpan w:val="4"/>
            <w:shd w:val="clear" w:color="auto" w:fill="D9D9D9" w:themeFill="background1" w:themeFillShade="D9"/>
          </w:tcPr>
          <w:p w:rsidR="00A74F03" w:rsidRPr="00A74F03" w:rsidRDefault="00A74F03" w:rsidP="00A74F03">
            <w:pPr>
              <w:ind w:left="360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 xml:space="preserve">Academic Support for All Subject Areas </w:t>
            </w:r>
          </w:p>
        </w:tc>
      </w:tr>
      <w:tr w:rsidR="00A74F03" w:rsidTr="00F22F67">
        <w:tc>
          <w:tcPr>
            <w:tcW w:w="1998" w:type="dxa"/>
            <w:gridSpan w:val="2"/>
          </w:tcPr>
          <w:p w:rsidR="00A74F03" w:rsidRPr="006208E7" w:rsidRDefault="004674A3" w:rsidP="000868CC">
            <w:pPr>
              <w:ind w:left="90"/>
              <w:rPr>
                <w:rFonts w:ascii="Cambria" w:hAnsi="Cambria" w:cs="Times New Roman"/>
                <w:sz w:val="18"/>
                <w:szCs w:val="24"/>
              </w:rPr>
            </w:pPr>
            <w:hyperlink r:id="rId13" w:history="1">
              <w:r w:rsidR="00A74F03" w:rsidRPr="006208E7">
                <w:rPr>
                  <w:rStyle w:val="Hyperlink"/>
                  <w:rFonts w:ascii="Cambria" w:hAnsi="Cambria" w:cs="Times New Roman"/>
                  <w:sz w:val="18"/>
                  <w:szCs w:val="24"/>
                </w:rPr>
                <w:t>http://www.engageny.org/educational-activities-for-parents-and-students</w:t>
              </w:r>
            </w:hyperlink>
          </w:p>
        </w:tc>
        <w:tc>
          <w:tcPr>
            <w:tcW w:w="3600" w:type="dxa"/>
          </w:tcPr>
          <w:p w:rsidR="00A74F03" w:rsidRDefault="00A74F03" w:rsidP="000868CC">
            <w:pPr>
              <w:ind w:left="360"/>
              <w:rPr>
                <w:rFonts w:ascii="Cambria" w:hAnsi="Cambria" w:cs="Times New Roman"/>
                <w:sz w:val="24"/>
                <w:szCs w:val="24"/>
              </w:rPr>
            </w:pPr>
            <w:r w:rsidRPr="006208E7">
              <w:rPr>
                <w:rFonts w:ascii="Cambria" w:hAnsi="Cambria" w:cs="Times New Roman"/>
                <w:sz w:val="24"/>
                <w:szCs w:val="24"/>
              </w:rPr>
              <w:t>These are educational sites suggested by our NYS Education Department. They are aimed at helping students work online to deepen their mathematical skills.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These are great tools for use at home to deepen academic skills. </w:t>
            </w:r>
          </w:p>
          <w:p w:rsidR="00A74F03" w:rsidRPr="006208E7" w:rsidRDefault="00A74F03" w:rsidP="000868CC">
            <w:pPr>
              <w:ind w:left="36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74F03" w:rsidRPr="00A74F03" w:rsidRDefault="00A74F03" w:rsidP="000868CC">
            <w:pPr>
              <w:ind w:left="36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74F03" w:rsidTr="00F22F67">
        <w:tc>
          <w:tcPr>
            <w:tcW w:w="1998" w:type="dxa"/>
            <w:gridSpan w:val="2"/>
          </w:tcPr>
          <w:p w:rsidR="00A74F03" w:rsidRPr="006208E7" w:rsidRDefault="00A74F03" w:rsidP="006208E7">
            <w:pPr>
              <w:ind w:left="90"/>
              <w:rPr>
                <w:rFonts w:ascii="Cambria" w:hAnsi="Cambria" w:cs="Times New Roman"/>
                <w:sz w:val="18"/>
                <w:szCs w:val="24"/>
              </w:rPr>
            </w:pPr>
          </w:p>
          <w:p w:rsidR="00A74F03" w:rsidRPr="006208E7" w:rsidRDefault="004674A3" w:rsidP="006208E7">
            <w:pPr>
              <w:ind w:left="90"/>
              <w:rPr>
                <w:rFonts w:ascii="Cambria" w:hAnsi="Cambria" w:cs="Times New Roman"/>
                <w:sz w:val="18"/>
                <w:szCs w:val="24"/>
              </w:rPr>
            </w:pPr>
            <w:hyperlink r:id="rId14" w:history="1">
              <w:r w:rsidR="00A74F03" w:rsidRPr="006208E7">
                <w:rPr>
                  <w:rStyle w:val="Hyperlink"/>
                  <w:rFonts w:ascii="Cambria" w:hAnsi="Cambria" w:cs="Times New Roman"/>
                  <w:sz w:val="18"/>
                  <w:szCs w:val="24"/>
                </w:rPr>
                <w:t>https://www.khanacademy.org/</w:t>
              </w:r>
            </w:hyperlink>
          </w:p>
        </w:tc>
        <w:tc>
          <w:tcPr>
            <w:tcW w:w="3600" w:type="dxa"/>
          </w:tcPr>
          <w:p w:rsidR="00A74F03" w:rsidRPr="006208E7" w:rsidRDefault="00A74F03" w:rsidP="006208E7">
            <w:pPr>
              <w:ind w:left="360"/>
              <w:rPr>
                <w:rFonts w:ascii="Cambria" w:hAnsi="Cambria" w:cs="Times New Roman"/>
                <w:sz w:val="24"/>
                <w:szCs w:val="24"/>
              </w:rPr>
            </w:pPr>
            <w:r w:rsidRPr="006208E7">
              <w:rPr>
                <w:rFonts w:ascii="Cambria" w:hAnsi="Cambria" w:cs="Times New Roman"/>
                <w:sz w:val="24"/>
                <w:szCs w:val="24"/>
              </w:rPr>
              <w:t xml:space="preserve">The Khan Academy is a vast, free, non-profit online academy funded by large donors such as Sal Khan, Google, and the Gates Foundation.  Select “learn” then “arithmetic” to get to elementary math concepts. </w:t>
            </w:r>
          </w:p>
        </w:tc>
        <w:tc>
          <w:tcPr>
            <w:tcW w:w="4860" w:type="dxa"/>
          </w:tcPr>
          <w:p w:rsidR="00A74F03" w:rsidRPr="00A74F03" w:rsidRDefault="00A74F03" w:rsidP="00A74F03">
            <w:pPr>
              <w:ind w:left="36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74F03" w:rsidTr="00F22F67">
        <w:tc>
          <w:tcPr>
            <w:tcW w:w="1998" w:type="dxa"/>
            <w:gridSpan w:val="2"/>
          </w:tcPr>
          <w:p w:rsidR="00A74F03" w:rsidRPr="006208E7" w:rsidRDefault="004674A3" w:rsidP="006208E7">
            <w:pPr>
              <w:ind w:left="90"/>
              <w:rPr>
                <w:rFonts w:ascii="Cambria" w:hAnsi="Cambria" w:cs="Times New Roman"/>
                <w:sz w:val="18"/>
                <w:szCs w:val="24"/>
              </w:rPr>
            </w:pPr>
            <w:hyperlink r:id="rId15" w:history="1">
              <w:r w:rsidR="00A74F03" w:rsidRPr="006208E7">
                <w:rPr>
                  <w:rStyle w:val="Hyperlink"/>
                  <w:rFonts w:ascii="Cambria" w:hAnsi="Cambria" w:cs="Times New Roman"/>
                  <w:sz w:val="18"/>
                  <w:szCs w:val="24"/>
                </w:rPr>
                <w:t>http://learnzillion.com/</w:t>
              </w:r>
            </w:hyperlink>
          </w:p>
          <w:p w:rsidR="00A74F03" w:rsidRPr="006208E7" w:rsidRDefault="00A74F03" w:rsidP="006208E7">
            <w:pPr>
              <w:ind w:left="90"/>
              <w:rPr>
                <w:rFonts w:ascii="Cambria" w:hAnsi="Cambria" w:cs="Times New Roman"/>
                <w:sz w:val="18"/>
                <w:szCs w:val="24"/>
              </w:rPr>
            </w:pPr>
          </w:p>
          <w:p w:rsidR="00A74F03" w:rsidRPr="006208E7" w:rsidRDefault="00A74F03" w:rsidP="006208E7">
            <w:pPr>
              <w:ind w:left="90"/>
              <w:rPr>
                <w:rFonts w:ascii="Cambria" w:hAnsi="Cambria" w:cs="Times New Roman"/>
                <w:sz w:val="18"/>
                <w:szCs w:val="24"/>
              </w:rPr>
            </w:pPr>
          </w:p>
        </w:tc>
        <w:tc>
          <w:tcPr>
            <w:tcW w:w="3600" w:type="dxa"/>
          </w:tcPr>
          <w:p w:rsidR="00A74F03" w:rsidRDefault="00A74F03" w:rsidP="000F053E">
            <w:pPr>
              <w:ind w:left="360"/>
              <w:rPr>
                <w:rFonts w:ascii="Cambria" w:hAnsi="Cambria" w:cs="Times New Roman"/>
                <w:sz w:val="24"/>
                <w:szCs w:val="24"/>
              </w:rPr>
            </w:pPr>
            <w:r w:rsidRPr="006208E7">
              <w:rPr>
                <w:rFonts w:ascii="Cambria" w:hAnsi="Cambria" w:cs="Times New Roman"/>
                <w:sz w:val="24"/>
                <w:szCs w:val="24"/>
              </w:rPr>
              <w:t xml:space="preserve">Teachers or parents can set up accounts, view lessons, complete practice, and receive feedback. </w:t>
            </w:r>
            <w:proofErr w:type="spellStart"/>
            <w:r w:rsidRPr="006208E7">
              <w:rPr>
                <w:rFonts w:ascii="Cambria" w:hAnsi="Cambria" w:cs="Times New Roman"/>
                <w:sz w:val="24"/>
                <w:szCs w:val="24"/>
              </w:rPr>
              <w:t>LearnZillion</w:t>
            </w:r>
            <w:proofErr w:type="spellEnd"/>
            <w:r w:rsidRPr="006208E7">
              <w:rPr>
                <w:rFonts w:ascii="Cambria" w:hAnsi="Cambria" w:cs="Times New Roman"/>
                <w:sz w:val="24"/>
                <w:szCs w:val="24"/>
              </w:rPr>
              <w:t xml:space="preserve"> also received major funding from the Gates Foundation.</w:t>
            </w:r>
          </w:p>
          <w:p w:rsidR="00A74F03" w:rsidRPr="006208E7" w:rsidRDefault="00A74F03" w:rsidP="000F053E">
            <w:pPr>
              <w:ind w:left="36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74F03" w:rsidRPr="00A74F03" w:rsidRDefault="00A74F03" w:rsidP="00A74F03">
            <w:pPr>
              <w:ind w:left="36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74F03" w:rsidTr="00294D66">
        <w:tc>
          <w:tcPr>
            <w:tcW w:w="10458" w:type="dxa"/>
            <w:gridSpan w:val="4"/>
            <w:shd w:val="clear" w:color="auto" w:fill="D9D9D9" w:themeFill="background1" w:themeFillShade="D9"/>
          </w:tcPr>
          <w:p w:rsidR="00A74F03" w:rsidRPr="00A74F03" w:rsidRDefault="00A74F03" w:rsidP="00A74F03">
            <w:pPr>
              <w:ind w:left="360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Support for the Math Modules from NYSED</w:t>
            </w:r>
          </w:p>
        </w:tc>
      </w:tr>
      <w:tr w:rsidR="00A74F03" w:rsidTr="00F22F67">
        <w:tc>
          <w:tcPr>
            <w:tcW w:w="1998" w:type="dxa"/>
            <w:gridSpan w:val="2"/>
          </w:tcPr>
          <w:p w:rsidR="00A74F03" w:rsidRPr="006208E7" w:rsidRDefault="004674A3" w:rsidP="006208E7">
            <w:pPr>
              <w:ind w:left="90"/>
              <w:rPr>
                <w:rFonts w:ascii="Cambria" w:eastAsia="Times New Roman" w:hAnsi="Cambria" w:cs="Times New Roman"/>
                <w:sz w:val="18"/>
                <w:szCs w:val="24"/>
              </w:rPr>
            </w:pPr>
            <w:hyperlink r:id="rId16" w:history="1">
              <w:r w:rsidR="00A74F03" w:rsidRPr="006208E7">
                <w:rPr>
                  <w:rStyle w:val="Hyperlink"/>
                  <w:rFonts w:ascii="Cambria" w:eastAsia="Times New Roman" w:hAnsi="Cambria" w:cs="Times New Roman"/>
                  <w:sz w:val="18"/>
                  <w:szCs w:val="24"/>
                </w:rPr>
                <w:t>http://www.engageny.org/video-library?f[0]=im_field_subject%3A19</w:t>
              </w:r>
            </w:hyperlink>
          </w:p>
        </w:tc>
        <w:tc>
          <w:tcPr>
            <w:tcW w:w="3600" w:type="dxa"/>
          </w:tcPr>
          <w:p w:rsidR="00A74F03" w:rsidRDefault="00A74F03" w:rsidP="00F176A6">
            <w:pPr>
              <w:spacing w:before="100" w:beforeAutospacing="1" w:after="100" w:afterAutospacing="1"/>
              <w:ind w:left="360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These are v</w:t>
            </w:r>
            <w:r w:rsidRPr="006208E7">
              <w:rPr>
                <w:rFonts w:ascii="Cambria" w:eastAsia="Times New Roman" w:hAnsi="Cambria" w:cs="Times New Roman"/>
                <w:sz w:val="24"/>
                <w:szCs w:val="24"/>
              </w:rPr>
              <w:t xml:space="preserve">ideos of 6 of the models used in </w:t>
            </w:r>
            <w:r w:rsidRPr="000F053E">
              <w:rPr>
                <w:rFonts w:ascii="Cambria" w:eastAsia="Times New Roman" w:hAnsi="Cambria" w:cs="Times New Roman"/>
                <w:i/>
                <w:sz w:val="24"/>
                <w:szCs w:val="24"/>
              </w:rPr>
              <w:t>A Story of Units</w:t>
            </w:r>
            <w:r w:rsidRPr="006208E7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>(PK-5 State-Provided Modules).</w:t>
            </w:r>
          </w:p>
          <w:p w:rsidR="00116CEB" w:rsidRPr="006208E7" w:rsidRDefault="00116CEB" w:rsidP="00F176A6">
            <w:pPr>
              <w:spacing w:before="100" w:beforeAutospacing="1" w:after="100" w:afterAutospacing="1"/>
              <w:ind w:left="36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74F03" w:rsidRPr="00A74F03" w:rsidRDefault="00A74F03" w:rsidP="00A74F03">
            <w:pPr>
              <w:ind w:left="36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74F03" w:rsidTr="00F22F67">
        <w:tc>
          <w:tcPr>
            <w:tcW w:w="1998" w:type="dxa"/>
            <w:gridSpan w:val="2"/>
          </w:tcPr>
          <w:p w:rsidR="00A74F03" w:rsidRPr="006208E7" w:rsidRDefault="004674A3" w:rsidP="006208E7">
            <w:pPr>
              <w:spacing w:before="100" w:beforeAutospacing="1" w:after="100" w:afterAutospacing="1"/>
              <w:ind w:left="90"/>
              <w:rPr>
                <w:rFonts w:ascii="Cambria" w:eastAsia="Times New Roman" w:hAnsi="Cambria" w:cs="Times New Roman"/>
                <w:sz w:val="18"/>
                <w:szCs w:val="24"/>
              </w:rPr>
            </w:pPr>
            <w:hyperlink r:id="rId17" w:history="1">
              <w:r w:rsidR="00A74F03" w:rsidRPr="006208E7">
                <w:rPr>
                  <w:rStyle w:val="Hyperlink"/>
                  <w:rFonts w:ascii="Cambria" w:eastAsia="Times New Roman" w:hAnsi="Cambria" w:cs="Times New Roman"/>
                  <w:sz w:val="18"/>
                  <w:szCs w:val="24"/>
                </w:rPr>
                <w:t>http://www.engageny.org/sites/default/files/resource/attachments/how_to_implement_a_story_of_units.pdf</w:t>
              </w:r>
            </w:hyperlink>
            <w:r w:rsidR="00A74F03" w:rsidRPr="006208E7">
              <w:rPr>
                <w:rFonts w:ascii="Cambria" w:eastAsia="Times New Roman" w:hAnsi="Cambria" w:cs="Times New Roman"/>
                <w:sz w:val="18"/>
                <w:szCs w:val="24"/>
              </w:rPr>
              <w:t xml:space="preserve"> </w:t>
            </w:r>
          </w:p>
          <w:p w:rsidR="00A74F03" w:rsidRPr="006208E7" w:rsidRDefault="00A74F03" w:rsidP="006208E7">
            <w:pPr>
              <w:ind w:left="90"/>
              <w:rPr>
                <w:rFonts w:ascii="Cambria" w:eastAsia="Times New Roman" w:hAnsi="Cambria" w:cs="Times New Roman"/>
                <w:sz w:val="18"/>
                <w:szCs w:val="24"/>
              </w:rPr>
            </w:pPr>
          </w:p>
        </w:tc>
        <w:tc>
          <w:tcPr>
            <w:tcW w:w="3600" w:type="dxa"/>
          </w:tcPr>
          <w:p w:rsidR="00A74F03" w:rsidRPr="006208E7" w:rsidRDefault="00A74F03" w:rsidP="000F053E">
            <w:pPr>
              <w:spacing w:before="100" w:beforeAutospacing="1" w:after="100" w:afterAutospacing="1"/>
              <w:ind w:left="360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This is a guidebook to the philosophy behind and structure of </w:t>
            </w:r>
            <w:r w:rsidRPr="000F053E">
              <w:rPr>
                <w:rFonts w:ascii="Cambria" w:eastAsia="Times New Roman" w:hAnsi="Cambria" w:cs="Times New Roman"/>
                <w:i/>
                <w:sz w:val="24"/>
                <w:szCs w:val="24"/>
              </w:rPr>
              <w:t>A Story of Units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>. It includes d</w:t>
            </w:r>
            <w:r w:rsidRPr="006208E7">
              <w:rPr>
                <w:rFonts w:ascii="Cambria" w:eastAsia="Times New Roman" w:hAnsi="Cambria" w:cs="Times New Roman"/>
                <w:sz w:val="24"/>
                <w:szCs w:val="24"/>
              </w:rPr>
              <w:t>escript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>ions and examples of the models.</w:t>
            </w:r>
          </w:p>
        </w:tc>
        <w:tc>
          <w:tcPr>
            <w:tcW w:w="4860" w:type="dxa"/>
          </w:tcPr>
          <w:p w:rsidR="00A74F03" w:rsidRPr="00A74F03" w:rsidRDefault="00A74F03" w:rsidP="00A74F03">
            <w:pPr>
              <w:ind w:left="36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74F03" w:rsidTr="00116CEB">
        <w:trPr>
          <w:trHeight w:val="1214"/>
        </w:trPr>
        <w:tc>
          <w:tcPr>
            <w:tcW w:w="1998" w:type="dxa"/>
            <w:gridSpan w:val="2"/>
          </w:tcPr>
          <w:p w:rsidR="00A74F03" w:rsidRDefault="004674A3" w:rsidP="006208E7">
            <w:pPr>
              <w:spacing w:before="100" w:beforeAutospacing="1" w:after="100" w:afterAutospacing="1"/>
              <w:ind w:left="90"/>
              <w:rPr>
                <w:rFonts w:ascii="Cambria" w:eastAsia="Times New Roman" w:hAnsi="Cambria" w:cs="Times New Roman"/>
                <w:sz w:val="18"/>
                <w:szCs w:val="24"/>
              </w:rPr>
            </w:pPr>
            <w:hyperlink r:id="rId18" w:history="1">
              <w:r w:rsidR="00A74F03" w:rsidRPr="004C39CB">
                <w:rPr>
                  <w:rStyle w:val="Hyperlink"/>
                  <w:rFonts w:ascii="Cambria" w:eastAsia="Times New Roman" w:hAnsi="Cambria" w:cs="Times New Roman"/>
                  <w:sz w:val="18"/>
                  <w:szCs w:val="24"/>
                </w:rPr>
                <w:t>http://commoncore.org/maps/math/video-gallery</w:t>
              </w:r>
            </w:hyperlink>
            <w:r w:rsidR="00A74F03">
              <w:rPr>
                <w:rFonts w:ascii="Cambria" w:eastAsia="Times New Roman" w:hAnsi="Cambria" w:cs="Times New Roman"/>
                <w:sz w:val="18"/>
                <w:szCs w:val="24"/>
              </w:rPr>
              <w:t xml:space="preserve">   </w:t>
            </w:r>
          </w:p>
          <w:p w:rsidR="00A74F03" w:rsidRPr="006208E7" w:rsidRDefault="00A74F03" w:rsidP="006208E7">
            <w:pPr>
              <w:spacing w:before="100" w:beforeAutospacing="1" w:after="100" w:afterAutospacing="1"/>
              <w:ind w:left="90"/>
              <w:rPr>
                <w:rFonts w:ascii="Cambria" w:eastAsia="Times New Roman" w:hAnsi="Cambria" w:cs="Times New Roman"/>
                <w:sz w:val="18"/>
                <w:szCs w:val="24"/>
              </w:rPr>
            </w:pPr>
          </w:p>
        </w:tc>
        <w:tc>
          <w:tcPr>
            <w:tcW w:w="3600" w:type="dxa"/>
          </w:tcPr>
          <w:p w:rsidR="00A74F03" w:rsidRPr="006208E7" w:rsidRDefault="00A74F03" w:rsidP="000F053E">
            <w:pPr>
              <w:spacing w:before="100" w:beforeAutospacing="1" w:after="100" w:afterAutospacing="1"/>
              <w:ind w:left="36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These are short videos that explain some of the key math models used in the PK-5 math modules. </w:t>
            </w:r>
          </w:p>
        </w:tc>
        <w:tc>
          <w:tcPr>
            <w:tcW w:w="4860" w:type="dxa"/>
          </w:tcPr>
          <w:p w:rsidR="00A74F03" w:rsidRPr="00A74F03" w:rsidRDefault="00A74F03" w:rsidP="00A74F03">
            <w:pPr>
              <w:ind w:left="36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74F03" w:rsidRPr="00A74F03" w:rsidTr="00F22F67">
        <w:tc>
          <w:tcPr>
            <w:tcW w:w="1998" w:type="dxa"/>
            <w:gridSpan w:val="2"/>
          </w:tcPr>
          <w:p w:rsidR="00A74F03" w:rsidRPr="006208E7" w:rsidRDefault="00A74F03" w:rsidP="000868CC">
            <w:pPr>
              <w:ind w:left="90"/>
              <w:rPr>
                <w:rFonts w:ascii="Cambria" w:hAnsi="Cambria" w:cs="Times New Roman"/>
                <w:sz w:val="18"/>
                <w:szCs w:val="24"/>
              </w:rPr>
            </w:pPr>
          </w:p>
        </w:tc>
        <w:tc>
          <w:tcPr>
            <w:tcW w:w="3600" w:type="dxa"/>
          </w:tcPr>
          <w:p w:rsidR="00A74F03" w:rsidRDefault="00A74F03" w:rsidP="000868CC">
            <w:pPr>
              <w:ind w:left="360"/>
              <w:rPr>
                <w:rFonts w:ascii="Cambria" w:hAnsi="Cambria" w:cs="Times New Roman"/>
                <w:sz w:val="24"/>
                <w:szCs w:val="24"/>
              </w:rPr>
            </w:pPr>
          </w:p>
          <w:p w:rsidR="00116CEB" w:rsidRDefault="00116CEB" w:rsidP="000868CC">
            <w:pPr>
              <w:ind w:left="360"/>
              <w:rPr>
                <w:rFonts w:ascii="Cambria" w:hAnsi="Cambria" w:cs="Times New Roman"/>
                <w:sz w:val="24"/>
                <w:szCs w:val="24"/>
              </w:rPr>
            </w:pPr>
          </w:p>
          <w:p w:rsidR="00116CEB" w:rsidRPr="006208E7" w:rsidRDefault="00116CEB" w:rsidP="000868CC">
            <w:pPr>
              <w:ind w:left="36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74F03" w:rsidRPr="00A74F03" w:rsidRDefault="00A74F03" w:rsidP="000868CC">
            <w:pPr>
              <w:ind w:left="36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9F5133" w:rsidRPr="00F176A6" w:rsidRDefault="009F5133" w:rsidP="00F176A6">
      <w:pPr>
        <w:pStyle w:val="ListParagraph"/>
        <w:spacing w:before="100" w:beforeAutospacing="1" w:after="100" w:afterAutospacing="1"/>
        <w:ind w:right="6480"/>
        <w:rPr>
          <w:rFonts w:ascii="Cambria" w:hAnsi="Cambria" w:cs="Times New Roman"/>
          <w:sz w:val="24"/>
          <w:szCs w:val="24"/>
        </w:rPr>
      </w:pPr>
    </w:p>
    <w:sectPr w:rsidR="009F5133" w:rsidRPr="00F176A6" w:rsidSect="00294D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18C5"/>
    <w:multiLevelType w:val="multilevel"/>
    <w:tmpl w:val="0234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E0447"/>
    <w:multiLevelType w:val="hybridMultilevel"/>
    <w:tmpl w:val="43B85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A3788"/>
    <w:multiLevelType w:val="hybridMultilevel"/>
    <w:tmpl w:val="535EC1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E564FD"/>
    <w:multiLevelType w:val="multilevel"/>
    <w:tmpl w:val="0234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A9"/>
    <w:rsid w:val="000F053E"/>
    <w:rsid w:val="00116CEB"/>
    <w:rsid w:val="00123CD9"/>
    <w:rsid w:val="0027349A"/>
    <w:rsid w:val="00294D66"/>
    <w:rsid w:val="004674A3"/>
    <w:rsid w:val="006208E7"/>
    <w:rsid w:val="007131F7"/>
    <w:rsid w:val="008467A9"/>
    <w:rsid w:val="009F5133"/>
    <w:rsid w:val="00A65CE2"/>
    <w:rsid w:val="00A74F03"/>
    <w:rsid w:val="00D20EF8"/>
    <w:rsid w:val="00D86F5B"/>
    <w:rsid w:val="00DF7B44"/>
    <w:rsid w:val="00F176A6"/>
    <w:rsid w:val="00F22F67"/>
    <w:rsid w:val="00F443BE"/>
    <w:rsid w:val="00F5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A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7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51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1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94D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A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7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51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1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94D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ny.org/resource/planning-a-parent-workshop-toolkit-for-parent-engagement" TargetMode="External"/><Relationship Id="rId13" Type="http://schemas.openxmlformats.org/officeDocument/2006/relationships/hyperlink" Target="http://www.engageny.org/educational-activities-for-parents-and-students" TargetMode="External"/><Relationship Id="rId18" Type="http://schemas.openxmlformats.org/officeDocument/2006/relationships/hyperlink" Target="http://commoncore.org/maps/math/video-gallery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nysut.org/resources/all-listing/2013/august/parents-guide-to-common-core-learning-standards" TargetMode="External"/><Relationship Id="rId17" Type="http://schemas.openxmlformats.org/officeDocument/2006/relationships/hyperlink" Target="http://www.engageny.org/sites/default/files/resource/attachments/how_to_implement_a_story_of_unit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gageny.org/video-library?f%5b0%5d=im_field_subject%3A1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gcs.org/Page/24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earnzillion.com/" TargetMode="External"/><Relationship Id="rId10" Type="http://schemas.openxmlformats.org/officeDocument/2006/relationships/hyperlink" Target="http://www.engageny.org/sites/default/files/resource/attachments/parent_workshop_common_core_resources_for_parents_to_learn_more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ngageny.org/parent-and-family-resources" TargetMode="External"/><Relationship Id="rId14" Type="http://schemas.openxmlformats.org/officeDocument/2006/relationships/hyperlink" Target="https://www.khanacadem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41604-F274-4781-8BFA-3D00B3A1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2013-10-09T20:32:00Z</cp:lastPrinted>
  <dcterms:created xsi:type="dcterms:W3CDTF">2013-10-11T17:20:00Z</dcterms:created>
  <dcterms:modified xsi:type="dcterms:W3CDTF">2013-10-11T17:20:00Z</dcterms:modified>
</cp:coreProperties>
</file>