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47E" w:rsidRDefault="00B50955" w:rsidP="002E747E">
      <w:pPr>
        <w:pStyle w:val="Default"/>
        <w:jc w:val="center"/>
        <w:rPr>
          <w:sz w:val="32"/>
          <w:szCs w:val="32"/>
        </w:rPr>
      </w:pPr>
      <w:bookmarkStart w:id="0" w:name="_GoBack"/>
      <w:bookmarkEnd w:id="0"/>
      <w:r>
        <w:rPr>
          <w:b/>
          <w:sz w:val="44"/>
          <w:szCs w:val="4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Staff and Students Summer Reading Challenge</w:t>
      </w:r>
    </w:p>
    <w:p w:rsidR="002E747E" w:rsidRDefault="002E747E" w:rsidP="002E747E">
      <w:pPr>
        <w:pStyle w:val="Default"/>
        <w:rPr>
          <w:sz w:val="32"/>
          <w:szCs w:val="32"/>
        </w:rPr>
      </w:pPr>
    </w:p>
    <w:p w:rsidR="002E747E" w:rsidRPr="000562D6" w:rsidRDefault="002E747E" w:rsidP="002E747E">
      <w:pPr>
        <w:pStyle w:val="Default"/>
      </w:pPr>
      <w:r w:rsidRPr="000562D6">
        <w:t xml:space="preserve">Research shows that students who do not engage in cognitive activities during the summer lose one to three months of learning. However, summer reading not only helps students retain the skills they need to enjoy academic success but also offers them enriching experiences through books. Students who read during the summer are more likely to . . . </w:t>
      </w:r>
    </w:p>
    <w:p w:rsidR="002E747E" w:rsidRPr="000562D6" w:rsidRDefault="002E747E" w:rsidP="002E747E">
      <w:pPr>
        <w:pStyle w:val="Default"/>
        <w:numPr>
          <w:ilvl w:val="0"/>
          <w:numId w:val="1"/>
        </w:numPr>
      </w:pPr>
      <w:r w:rsidRPr="000562D6">
        <w:t xml:space="preserve">* maintain the fluency required for success </w:t>
      </w:r>
    </w:p>
    <w:p w:rsidR="002E747E" w:rsidRPr="000562D6" w:rsidRDefault="002E747E" w:rsidP="002E747E">
      <w:pPr>
        <w:pStyle w:val="Default"/>
        <w:numPr>
          <w:ilvl w:val="0"/>
          <w:numId w:val="1"/>
        </w:numPr>
      </w:pPr>
      <w:r w:rsidRPr="000562D6">
        <w:t xml:space="preserve">* maintain and increase their vocabulary </w:t>
      </w:r>
    </w:p>
    <w:p w:rsidR="002E747E" w:rsidRPr="000562D6" w:rsidRDefault="002E747E" w:rsidP="002E747E">
      <w:pPr>
        <w:pStyle w:val="Default"/>
        <w:ind w:firstLine="720"/>
      </w:pPr>
      <w:r w:rsidRPr="000562D6">
        <w:t xml:space="preserve">* learn of the resources provided by the public library </w:t>
      </w:r>
    </w:p>
    <w:p w:rsidR="002E747E" w:rsidRPr="000562D6" w:rsidRDefault="002E747E" w:rsidP="002E747E">
      <w:pPr>
        <w:pStyle w:val="Default"/>
        <w:numPr>
          <w:ilvl w:val="0"/>
          <w:numId w:val="1"/>
        </w:numPr>
      </w:pPr>
      <w:r w:rsidRPr="000562D6">
        <w:t xml:space="preserve">* talk with family and friends about books </w:t>
      </w:r>
    </w:p>
    <w:p w:rsidR="002E747E" w:rsidRPr="000562D6" w:rsidRDefault="002E747E" w:rsidP="002E747E">
      <w:pPr>
        <w:pStyle w:val="Default"/>
        <w:numPr>
          <w:ilvl w:val="0"/>
          <w:numId w:val="1"/>
        </w:numPr>
      </w:pPr>
      <w:r w:rsidRPr="000562D6">
        <w:t xml:space="preserve">* discover new interests or hobbies </w:t>
      </w:r>
    </w:p>
    <w:p w:rsidR="002E747E" w:rsidRDefault="002E747E" w:rsidP="002E747E">
      <w:pPr>
        <w:pStyle w:val="Default"/>
        <w:rPr>
          <w:sz w:val="28"/>
          <w:szCs w:val="28"/>
        </w:rPr>
      </w:pPr>
    </w:p>
    <w:p w:rsidR="002E747E" w:rsidRPr="000562D6" w:rsidRDefault="002E747E" w:rsidP="002E747E">
      <w:pPr>
        <w:pStyle w:val="Default"/>
        <w:rPr>
          <w:rFonts w:ascii="Arial Black" w:hAnsi="Arial Black"/>
          <w:b/>
        </w:rPr>
      </w:pPr>
      <w:r w:rsidRPr="000562D6">
        <w:rPr>
          <w:rFonts w:ascii="Arial Black" w:hAnsi="Arial Black"/>
          <w:b/>
        </w:rPr>
        <w:t>Six Books to Summer Success</w:t>
      </w:r>
    </w:p>
    <w:p w:rsidR="00022E9A" w:rsidRPr="00B92BE5" w:rsidRDefault="002E747E" w:rsidP="002E747E">
      <w:pPr>
        <w:rPr>
          <w:rFonts w:ascii="Arial" w:hAnsi="Arial" w:cs="Arial"/>
          <w:sz w:val="24"/>
          <w:szCs w:val="24"/>
        </w:rPr>
      </w:pPr>
      <w:r w:rsidRPr="00B92BE5">
        <w:rPr>
          <w:rFonts w:ascii="Arial" w:hAnsi="Arial" w:cs="Arial"/>
          <w:sz w:val="24"/>
          <w:szCs w:val="24"/>
        </w:rPr>
        <w:t xml:space="preserve">Research also shows that reading just </w:t>
      </w:r>
      <w:r w:rsidRPr="00B92BE5">
        <w:rPr>
          <w:rFonts w:ascii="Arial" w:hAnsi="Arial" w:cs="Arial"/>
          <w:b/>
          <w:bCs/>
          <w:sz w:val="24"/>
          <w:szCs w:val="24"/>
        </w:rPr>
        <w:t xml:space="preserve">six </w:t>
      </w:r>
      <w:r w:rsidRPr="00B92BE5">
        <w:rPr>
          <w:rFonts w:ascii="Arial" w:hAnsi="Arial" w:cs="Arial"/>
          <w:sz w:val="24"/>
          <w:szCs w:val="24"/>
        </w:rPr>
        <w:t>books during the summer may keep a struggling reader from regressing. When choosing the six, be sure that they are just right, not too hard and not too easy for your child to read. Take advantage of your local library. Ask for help selecting books that match your child’s age, interests, and abilities. Libraries often run summer reading programs that motivate kids to read, so find out what’s available in your area.</w:t>
      </w:r>
    </w:p>
    <w:p w:rsidR="002E747E" w:rsidRPr="000562D6" w:rsidRDefault="002E747E" w:rsidP="002E747E">
      <w:pPr>
        <w:rPr>
          <w:sz w:val="24"/>
          <w:szCs w:val="24"/>
        </w:rPr>
      </w:pPr>
    </w:p>
    <w:p w:rsidR="002E747E" w:rsidRPr="000562D6" w:rsidRDefault="00C87748" w:rsidP="002E747E">
      <w:pPr>
        <w:rPr>
          <w:rFonts w:ascii="Arial Black" w:hAnsi="Arial Black"/>
          <w:sz w:val="24"/>
          <w:szCs w:val="24"/>
        </w:rPr>
      </w:pPr>
      <w:r w:rsidRPr="000562D6">
        <w:rPr>
          <w:rFonts w:ascii="Arial Black" w:hAnsi="Arial Black"/>
          <w:sz w:val="24"/>
          <w:szCs w:val="24"/>
        </w:rPr>
        <w:t>Reading Log (reverse side) – The reading you do this summer counts toward your</w:t>
      </w:r>
      <w:r w:rsidR="000562D6">
        <w:rPr>
          <w:rFonts w:ascii="Arial Black" w:hAnsi="Arial Black"/>
          <w:sz w:val="24"/>
          <w:szCs w:val="24"/>
        </w:rPr>
        <w:t xml:space="preserve"> Intermediate School </w:t>
      </w:r>
      <w:r w:rsidRPr="000562D6">
        <w:rPr>
          <w:rFonts w:ascii="Arial Black" w:hAnsi="Arial Black"/>
          <w:sz w:val="24"/>
          <w:szCs w:val="24"/>
        </w:rPr>
        <w:t>25 book goal for the 2013 – 14 school year.</w:t>
      </w:r>
    </w:p>
    <w:p w:rsidR="000562D6" w:rsidRDefault="000562D6" w:rsidP="002E747E">
      <w:pPr>
        <w:rPr>
          <w:rFonts w:ascii="Arial Black" w:hAnsi="Arial Black"/>
          <w:sz w:val="28"/>
          <w:szCs w:val="28"/>
        </w:rPr>
      </w:pPr>
    </w:p>
    <w:p w:rsidR="00C87748" w:rsidRPr="000562D6" w:rsidRDefault="00C87748" w:rsidP="002E747E">
      <w:pPr>
        <w:rPr>
          <w:rFonts w:ascii="Arial Black" w:hAnsi="Arial Black"/>
          <w:sz w:val="24"/>
          <w:szCs w:val="24"/>
        </w:rPr>
      </w:pPr>
      <w:r w:rsidRPr="000562D6">
        <w:rPr>
          <w:rFonts w:ascii="Arial Black" w:hAnsi="Arial Black"/>
          <w:sz w:val="24"/>
          <w:szCs w:val="24"/>
        </w:rPr>
        <w:t>Online and Local Community Resources</w:t>
      </w:r>
    </w:p>
    <w:p w:rsidR="00C87748" w:rsidRPr="000562D6" w:rsidRDefault="00843D59" w:rsidP="002E747E">
      <w:pPr>
        <w:rPr>
          <w:rFonts w:ascii="Arial Black" w:hAnsi="Arial Black"/>
          <w:sz w:val="24"/>
          <w:szCs w:val="24"/>
        </w:rPr>
      </w:pPr>
      <w:hyperlink r:id="rId6" w:history="1">
        <w:r w:rsidR="000D5CB8" w:rsidRPr="000562D6">
          <w:rPr>
            <w:rStyle w:val="Hyperlink"/>
            <w:rFonts w:ascii="Arial Black" w:hAnsi="Arial Black"/>
            <w:sz w:val="24"/>
            <w:szCs w:val="24"/>
          </w:rPr>
          <w:t>http://novelnewyork.org/</w:t>
        </w:r>
      </w:hyperlink>
      <w:r w:rsidR="00624972" w:rsidRPr="000562D6">
        <w:rPr>
          <w:rFonts w:ascii="Arial Black" w:hAnsi="Arial Black"/>
          <w:sz w:val="24"/>
          <w:szCs w:val="24"/>
        </w:rPr>
        <w:tab/>
      </w:r>
      <w:r w:rsidR="00624972" w:rsidRPr="000562D6">
        <w:rPr>
          <w:rFonts w:ascii="Arial Black" w:hAnsi="Arial Black"/>
          <w:sz w:val="24"/>
          <w:szCs w:val="24"/>
        </w:rPr>
        <w:tab/>
      </w:r>
      <w:r w:rsidR="00624972" w:rsidRPr="000562D6">
        <w:rPr>
          <w:rFonts w:ascii="Arial Black" w:hAnsi="Arial Black"/>
          <w:sz w:val="24"/>
          <w:szCs w:val="24"/>
        </w:rPr>
        <w:tab/>
      </w:r>
      <w:r w:rsidR="00624972" w:rsidRPr="000562D6">
        <w:rPr>
          <w:rFonts w:ascii="Arial Black" w:hAnsi="Arial Black"/>
          <w:sz w:val="24"/>
          <w:szCs w:val="24"/>
        </w:rPr>
        <w:tab/>
      </w:r>
      <w:r w:rsidR="00624972" w:rsidRPr="000562D6">
        <w:rPr>
          <w:rFonts w:ascii="Arial Black" w:hAnsi="Arial Black"/>
          <w:sz w:val="24"/>
          <w:szCs w:val="24"/>
        </w:rPr>
        <w:tab/>
      </w:r>
      <w:r w:rsidR="00624972" w:rsidRPr="000562D6">
        <w:rPr>
          <w:rFonts w:ascii="Arial Black" w:hAnsi="Arial Black"/>
          <w:sz w:val="24"/>
          <w:szCs w:val="24"/>
        </w:rPr>
        <w:tab/>
      </w:r>
    </w:p>
    <w:p w:rsidR="000D5CB8" w:rsidRPr="000562D6" w:rsidRDefault="00843D59" w:rsidP="002E747E">
      <w:pPr>
        <w:rPr>
          <w:rFonts w:ascii="Arial Black" w:hAnsi="Arial Black"/>
          <w:sz w:val="24"/>
          <w:szCs w:val="24"/>
        </w:rPr>
      </w:pPr>
      <w:hyperlink r:id="rId7" w:history="1">
        <w:r w:rsidR="000D5CB8" w:rsidRPr="000562D6">
          <w:rPr>
            <w:rStyle w:val="Hyperlink"/>
            <w:rFonts w:ascii="Arial Black" w:hAnsi="Arial Black"/>
            <w:sz w:val="24"/>
            <w:szCs w:val="24"/>
          </w:rPr>
          <w:t>http://www.steele.lib.ny.us/horseheads.htm</w:t>
        </w:r>
      </w:hyperlink>
    </w:p>
    <w:p w:rsidR="000D5CB8" w:rsidRPr="000562D6" w:rsidRDefault="00843D59" w:rsidP="002E747E">
      <w:pPr>
        <w:rPr>
          <w:rFonts w:ascii="Arial Black" w:hAnsi="Arial Black"/>
          <w:sz w:val="24"/>
          <w:szCs w:val="24"/>
        </w:rPr>
      </w:pPr>
      <w:hyperlink r:id="rId8" w:history="1">
        <w:r w:rsidR="00624972" w:rsidRPr="000562D6">
          <w:rPr>
            <w:rStyle w:val="Hyperlink"/>
            <w:rFonts w:ascii="Arial Black" w:hAnsi="Arial Black"/>
            <w:sz w:val="24"/>
            <w:szCs w:val="24"/>
          </w:rPr>
          <w:t>www.scholastic.com/summer</w:t>
        </w:r>
      </w:hyperlink>
    </w:p>
    <w:p w:rsidR="008B61A8" w:rsidRPr="000562D6" w:rsidRDefault="00843D59" w:rsidP="002E747E">
      <w:pPr>
        <w:rPr>
          <w:rFonts w:ascii="Arial Black" w:hAnsi="Arial Black"/>
          <w:sz w:val="24"/>
          <w:szCs w:val="24"/>
        </w:rPr>
      </w:pPr>
      <w:hyperlink r:id="rId9" w:history="1">
        <w:r w:rsidR="008B61A8" w:rsidRPr="000562D6">
          <w:rPr>
            <w:rStyle w:val="Hyperlink"/>
            <w:rFonts w:ascii="Arial Black" w:hAnsi="Arial Black"/>
            <w:sz w:val="24"/>
            <w:szCs w:val="24"/>
          </w:rPr>
          <w:t>http://www.scholastic.com/summer/pdfs/2013/SCBookList2013_Age3_5_2.pdf</w:t>
        </w:r>
      </w:hyperlink>
    </w:p>
    <w:p w:rsidR="008B61A8" w:rsidRPr="000562D6" w:rsidRDefault="00843D59" w:rsidP="002E747E">
      <w:pPr>
        <w:rPr>
          <w:rFonts w:ascii="Arial Black" w:hAnsi="Arial Black"/>
          <w:sz w:val="24"/>
          <w:szCs w:val="24"/>
        </w:rPr>
      </w:pPr>
      <w:hyperlink r:id="rId10" w:history="1">
        <w:r w:rsidR="008B61A8" w:rsidRPr="000562D6">
          <w:rPr>
            <w:rStyle w:val="Hyperlink"/>
            <w:rFonts w:ascii="Arial Black" w:hAnsi="Arial Black"/>
            <w:sz w:val="24"/>
            <w:szCs w:val="24"/>
          </w:rPr>
          <w:t>http://www.readingrockets.org/extras/stem_series/</w:t>
        </w:r>
      </w:hyperlink>
    </w:p>
    <w:p w:rsidR="00CC6E62" w:rsidRPr="000562D6" w:rsidRDefault="00843D59" w:rsidP="002E747E">
      <w:pPr>
        <w:rPr>
          <w:rFonts w:ascii="Arial Black" w:hAnsi="Arial Black"/>
          <w:sz w:val="24"/>
          <w:szCs w:val="24"/>
        </w:rPr>
      </w:pPr>
      <w:hyperlink r:id="rId11" w:history="1">
        <w:r w:rsidR="00CC6E62" w:rsidRPr="000562D6">
          <w:rPr>
            <w:rStyle w:val="Hyperlink"/>
            <w:rFonts w:ascii="Arial Black" w:hAnsi="Arial Black"/>
            <w:sz w:val="24"/>
            <w:szCs w:val="24"/>
          </w:rPr>
          <w:t>https://ny.evanced.info/ccld/sr/homepage.asp?ProgramID=2&amp;PreviewMode=&amp;StyleName</w:t>
        </w:r>
      </w:hyperlink>
      <w:r w:rsidR="00CC6E62" w:rsidRPr="000562D6">
        <w:rPr>
          <w:rFonts w:ascii="Arial Black" w:hAnsi="Arial Black"/>
          <w:sz w:val="24"/>
          <w:szCs w:val="24"/>
        </w:rPr>
        <w:t>=</w:t>
      </w:r>
    </w:p>
    <w:p w:rsidR="00CC6E62" w:rsidRPr="000562D6" w:rsidRDefault="00843D59" w:rsidP="002E747E">
      <w:pPr>
        <w:rPr>
          <w:rFonts w:ascii="Arial Black" w:hAnsi="Arial Black"/>
          <w:sz w:val="24"/>
          <w:szCs w:val="24"/>
        </w:rPr>
      </w:pPr>
      <w:hyperlink r:id="rId12" w:history="1">
        <w:r w:rsidR="00CC6E62" w:rsidRPr="000562D6">
          <w:rPr>
            <w:rStyle w:val="Hyperlink"/>
            <w:rFonts w:ascii="Arial Black" w:hAnsi="Arial Black"/>
            <w:sz w:val="24"/>
            <w:szCs w:val="24"/>
          </w:rPr>
          <w:t>http://kids.baristanet.com/2013/06/read-kiddo-read-ultimate-summer-reading-list-and-giveaway/</w:t>
        </w:r>
      </w:hyperlink>
    </w:p>
    <w:p w:rsidR="00CC6E62" w:rsidRPr="000562D6" w:rsidRDefault="00843D59" w:rsidP="002E747E">
      <w:pPr>
        <w:rPr>
          <w:rStyle w:val="Hyperlink"/>
          <w:rFonts w:ascii="Arial Black" w:hAnsi="Arial Black"/>
          <w:sz w:val="24"/>
          <w:szCs w:val="24"/>
        </w:rPr>
      </w:pPr>
      <w:hyperlink r:id="rId13" w:history="1">
        <w:r w:rsidR="00CC6E62" w:rsidRPr="000562D6">
          <w:rPr>
            <w:rStyle w:val="Hyperlink"/>
            <w:rFonts w:ascii="Arial Black" w:hAnsi="Arial Black"/>
            <w:sz w:val="24"/>
            <w:szCs w:val="24"/>
          </w:rPr>
          <w:t>http://www.steele.lib.ny.us/parents.htm</w:t>
        </w:r>
      </w:hyperlink>
    </w:p>
    <w:p w:rsidR="00B175D6" w:rsidRPr="000562D6" w:rsidRDefault="008450F4" w:rsidP="002E747E">
      <w:pPr>
        <w:rPr>
          <w:rStyle w:val="Hyperlink"/>
          <w:rFonts w:ascii="Arial Black" w:hAnsi="Arial Black"/>
          <w:sz w:val="24"/>
          <w:szCs w:val="24"/>
        </w:rPr>
      </w:pPr>
      <w:r>
        <w:rPr>
          <w:rStyle w:val="Hyperlink"/>
          <w:rFonts w:ascii="Arial Black" w:hAnsi="Arial Black"/>
          <w:sz w:val="24"/>
          <w:szCs w:val="24"/>
        </w:rPr>
        <w:t>www.nyread.com</w:t>
      </w:r>
    </w:p>
    <w:p w:rsidR="00B175D6" w:rsidRPr="000562D6" w:rsidRDefault="00B175D6" w:rsidP="002E747E">
      <w:pPr>
        <w:rPr>
          <w:rFonts w:ascii="Arial Black" w:hAnsi="Arial Black"/>
          <w:sz w:val="24"/>
          <w:szCs w:val="24"/>
        </w:rPr>
      </w:pPr>
    </w:p>
    <w:p w:rsidR="00B175D6" w:rsidRDefault="00B175D6" w:rsidP="002E747E">
      <w:pPr>
        <w:rPr>
          <w:rFonts w:ascii="Arial Black" w:hAnsi="Arial Black"/>
          <w:sz w:val="24"/>
          <w:szCs w:val="24"/>
        </w:rPr>
      </w:pPr>
    </w:p>
    <w:p w:rsidR="000562D6" w:rsidRDefault="000562D6" w:rsidP="002E747E">
      <w:pPr>
        <w:rPr>
          <w:rFonts w:ascii="Arial Black" w:hAnsi="Arial Black"/>
          <w:sz w:val="24"/>
          <w:szCs w:val="24"/>
        </w:rPr>
      </w:pPr>
    </w:p>
    <w:p w:rsidR="000562D6" w:rsidRDefault="000562D6" w:rsidP="000562D6">
      <w:pPr>
        <w:jc w:val="center"/>
        <w:rPr>
          <w:rFonts w:ascii="Arial Black" w:hAnsi="Arial Black"/>
          <w:sz w:val="48"/>
          <w:szCs w:val="48"/>
        </w:rPr>
      </w:pPr>
      <w:r>
        <w:rPr>
          <w:rFonts w:ascii="Arial Black" w:hAnsi="Arial Black"/>
          <w:sz w:val="48"/>
          <w:szCs w:val="48"/>
        </w:rPr>
        <w:lastRenderedPageBreak/>
        <w:t>Staff and Students Summer Reading Challenge</w:t>
      </w:r>
    </w:p>
    <w:p w:rsidR="000562D6" w:rsidRDefault="000562D6" w:rsidP="000562D6">
      <w:pPr>
        <w:jc w:val="center"/>
        <w:rPr>
          <w:rFonts w:ascii="Arial Black" w:hAnsi="Arial Black"/>
          <w:sz w:val="48"/>
          <w:szCs w:val="48"/>
        </w:rPr>
      </w:pPr>
      <w:r>
        <w:rPr>
          <w:rFonts w:ascii="Arial Black" w:hAnsi="Arial Black"/>
          <w:sz w:val="48"/>
          <w:szCs w:val="48"/>
        </w:rPr>
        <w:t>2013</w:t>
      </w:r>
    </w:p>
    <w:tbl>
      <w:tblPr>
        <w:tblStyle w:val="TableGrid"/>
        <w:tblW w:w="0" w:type="auto"/>
        <w:tblLayout w:type="fixed"/>
        <w:tblLook w:val="04A0" w:firstRow="1" w:lastRow="0" w:firstColumn="1" w:lastColumn="0" w:noHBand="0" w:noVBand="1"/>
      </w:tblPr>
      <w:tblGrid>
        <w:gridCol w:w="1278"/>
        <w:gridCol w:w="2880"/>
        <w:gridCol w:w="1710"/>
        <w:gridCol w:w="1566"/>
        <w:gridCol w:w="1584"/>
        <w:gridCol w:w="3600"/>
        <w:gridCol w:w="1762"/>
      </w:tblGrid>
      <w:tr w:rsidR="007210D3" w:rsidTr="007210D3">
        <w:tc>
          <w:tcPr>
            <w:tcW w:w="1278"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Date</w:t>
            </w:r>
          </w:p>
        </w:tc>
        <w:tc>
          <w:tcPr>
            <w:tcW w:w="2880"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Title</w:t>
            </w:r>
          </w:p>
        </w:tc>
        <w:tc>
          <w:tcPr>
            <w:tcW w:w="1710"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Author</w:t>
            </w:r>
          </w:p>
        </w:tc>
        <w:tc>
          <w:tcPr>
            <w:tcW w:w="1566"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Genre</w:t>
            </w:r>
          </w:p>
        </w:tc>
        <w:tc>
          <w:tcPr>
            <w:tcW w:w="1584"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Pages Read</w:t>
            </w:r>
          </w:p>
        </w:tc>
        <w:tc>
          <w:tcPr>
            <w:tcW w:w="3600"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Adult</w:t>
            </w:r>
          </w:p>
          <w:p w:rsidR="007210D3" w:rsidRPr="000562D6" w:rsidRDefault="007210D3" w:rsidP="000562D6">
            <w:pPr>
              <w:jc w:val="center"/>
              <w:rPr>
                <w:rFonts w:ascii="Arial Black" w:hAnsi="Arial Black"/>
                <w:sz w:val="40"/>
                <w:szCs w:val="40"/>
              </w:rPr>
            </w:pPr>
            <w:r w:rsidRPr="000562D6">
              <w:rPr>
                <w:rFonts w:ascii="Arial Black" w:hAnsi="Arial Black"/>
                <w:sz w:val="40"/>
                <w:szCs w:val="40"/>
              </w:rPr>
              <w:t>Signature</w:t>
            </w:r>
          </w:p>
        </w:tc>
        <w:tc>
          <w:tcPr>
            <w:tcW w:w="1762" w:type="dxa"/>
          </w:tcPr>
          <w:p w:rsidR="007210D3" w:rsidRPr="000562D6" w:rsidRDefault="007210D3" w:rsidP="000562D6">
            <w:pPr>
              <w:jc w:val="center"/>
              <w:rPr>
                <w:rFonts w:ascii="Arial Black" w:hAnsi="Arial Black"/>
                <w:sz w:val="40"/>
                <w:szCs w:val="40"/>
              </w:rPr>
            </w:pPr>
            <w:r w:rsidRPr="000562D6">
              <w:rPr>
                <w:rFonts w:ascii="Arial Black" w:hAnsi="Arial Black"/>
                <w:sz w:val="40"/>
                <w:szCs w:val="40"/>
              </w:rPr>
              <w:t>Date</w:t>
            </w:r>
          </w:p>
          <w:p w:rsidR="007210D3" w:rsidRPr="000562D6" w:rsidRDefault="007210D3" w:rsidP="000562D6">
            <w:pPr>
              <w:jc w:val="center"/>
              <w:rPr>
                <w:rFonts w:ascii="Arial Black" w:hAnsi="Arial Black"/>
                <w:b/>
                <w:sz w:val="40"/>
                <w:szCs w:val="40"/>
              </w:rPr>
            </w:pPr>
            <w:r w:rsidRPr="000562D6">
              <w:rPr>
                <w:rFonts w:ascii="Arial Black" w:hAnsi="Arial Black"/>
                <w:sz w:val="40"/>
                <w:szCs w:val="40"/>
              </w:rPr>
              <w:t>Signed</w:t>
            </w: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r w:rsidR="007210D3" w:rsidTr="007210D3">
        <w:tc>
          <w:tcPr>
            <w:tcW w:w="1278" w:type="dxa"/>
          </w:tcPr>
          <w:p w:rsidR="007210D3" w:rsidRDefault="007210D3" w:rsidP="000562D6">
            <w:pPr>
              <w:jc w:val="center"/>
              <w:rPr>
                <w:rFonts w:ascii="Arial Black" w:hAnsi="Arial Black"/>
                <w:sz w:val="48"/>
                <w:szCs w:val="48"/>
              </w:rPr>
            </w:pPr>
          </w:p>
        </w:tc>
        <w:tc>
          <w:tcPr>
            <w:tcW w:w="2880" w:type="dxa"/>
          </w:tcPr>
          <w:p w:rsidR="007210D3" w:rsidRDefault="007210D3" w:rsidP="000562D6">
            <w:pPr>
              <w:jc w:val="center"/>
              <w:rPr>
                <w:rFonts w:ascii="Arial Black" w:hAnsi="Arial Black"/>
                <w:sz w:val="48"/>
                <w:szCs w:val="48"/>
              </w:rPr>
            </w:pPr>
          </w:p>
        </w:tc>
        <w:tc>
          <w:tcPr>
            <w:tcW w:w="1710" w:type="dxa"/>
          </w:tcPr>
          <w:p w:rsidR="007210D3" w:rsidRDefault="007210D3" w:rsidP="000562D6">
            <w:pPr>
              <w:jc w:val="center"/>
              <w:rPr>
                <w:rFonts w:ascii="Arial Black" w:hAnsi="Arial Black"/>
                <w:sz w:val="48"/>
                <w:szCs w:val="48"/>
              </w:rPr>
            </w:pPr>
          </w:p>
        </w:tc>
        <w:tc>
          <w:tcPr>
            <w:tcW w:w="1566" w:type="dxa"/>
          </w:tcPr>
          <w:p w:rsidR="007210D3" w:rsidRDefault="007210D3" w:rsidP="000562D6">
            <w:pPr>
              <w:jc w:val="center"/>
              <w:rPr>
                <w:rFonts w:ascii="Arial Black" w:hAnsi="Arial Black"/>
                <w:sz w:val="48"/>
                <w:szCs w:val="48"/>
              </w:rPr>
            </w:pPr>
          </w:p>
        </w:tc>
        <w:tc>
          <w:tcPr>
            <w:tcW w:w="1584" w:type="dxa"/>
          </w:tcPr>
          <w:p w:rsidR="007210D3" w:rsidRDefault="007210D3" w:rsidP="000562D6">
            <w:pPr>
              <w:jc w:val="center"/>
              <w:rPr>
                <w:rFonts w:ascii="Arial Black" w:hAnsi="Arial Black"/>
                <w:sz w:val="48"/>
                <w:szCs w:val="48"/>
              </w:rPr>
            </w:pPr>
          </w:p>
        </w:tc>
        <w:tc>
          <w:tcPr>
            <w:tcW w:w="3600" w:type="dxa"/>
          </w:tcPr>
          <w:p w:rsidR="007210D3" w:rsidRDefault="007210D3" w:rsidP="000562D6">
            <w:pPr>
              <w:jc w:val="center"/>
              <w:rPr>
                <w:rFonts w:ascii="Arial Black" w:hAnsi="Arial Black"/>
                <w:sz w:val="48"/>
                <w:szCs w:val="48"/>
              </w:rPr>
            </w:pPr>
          </w:p>
        </w:tc>
        <w:tc>
          <w:tcPr>
            <w:tcW w:w="1762" w:type="dxa"/>
          </w:tcPr>
          <w:p w:rsidR="007210D3" w:rsidRDefault="007210D3" w:rsidP="000562D6">
            <w:pPr>
              <w:jc w:val="center"/>
              <w:rPr>
                <w:rFonts w:ascii="Arial Black" w:hAnsi="Arial Black"/>
                <w:sz w:val="48"/>
                <w:szCs w:val="48"/>
              </w:rPr>
            </w:pPr>
          </w:p>
        </w:tc>
      </w:tr>
    </w:tbl>
    <w:p w:rsidR="000562D6" w:rsidRDefault="000562D6" w:rsidP="000562D6">
      <w:pPr>
        <w:jc w:val="center"/>
        <w:rPr>
          <w:rFonts w:ascii="Arial Black" w:hAnsi="Arial Black"/>
          <w:sz w:val="48"/>
          <w:szCs w:val="48"/>
        </w:rPr>
      </w:pPr>
    </w:p>
    <w:p w:rsidR="00F12DA4" w:rsidRDefault="00F12DA4" w:rsidP="00F12DA4">
      <w:pPr>
        <w:rPr>
          <w:rFonts w:ascii="Arial Black" w:hAnsi="Arial Black"/>
          <w:sz w:val="32"/>
          <w:szCs w:val="32"/>
        </w:rPr>
      </w:pPr>
      <w:r>
        <w:rPr>
          <w:rFonts w:ascii="Arial Black" w:hAnsi="Arial Black"/>
          <w:sz w:val="32"/>
          <w:szCs w:val="32"/>
        </w:rPr>
        <w:t xml:space="preserve">Please return this log to your homeroom teacher for the 2013 – 2014 school </w:t>
      </w:r>
      <w:proofErr w:type="gramStart"/>
      <w:r>
        <w:rPr>
          <w:rFonts w:ascii="Arial Black" w:hAnsi="Arial Black"/>
          <w:sz w:val="32"/>
          <w:szCs w:val="32"/>
        </w:rPr>
        <w:t>year</w:t>
      </w:r>
      <w:proofErr w:type="gramEnd"/>
      <w:r>
        <w:rPr>
          <w:rFonts w:ascii="Arial Black" w:hAnsi="Arial Black"/>
          <w:sz w:val="32"/>
          <w:szCs w:val="32"/>
        </w:rPr>
        <w:t>.</w:t>
      </w:r>
    </w:p>
    <w:p w:rsidR="000D32B7" w:rsidRPr="000D32B7" w:rsidRDefault="000D32B7" w:rsidP="00F12DA4">
      <w:pPr>
        <w:rPr>
          <w:rFonts w:ascii="Arial Black" w:hAnsi="Arial Black"/>
          <w:sz w:val="24"/>
          <w:szCs w:val="24"/>
        </w:rPr>
      </w:pPr>
      <w:r>
        <w:rPr>
          <w:rFonts w:ascii="Arial Black" w:hAnsi="Arial Black"/>
          <w:sz w:val="32"/>
          <w:szCs w:val="32"/>
        </w:rPr>
        <w:t>“The more you read the more things you wil</w:t>
      </w:r>
      <w:r w:rsidR="008450F4">
        <w:rPr>
          <w:rFonts w:ascii="Arial Black" w:hAnsi="Arial Black"/>
          <w:sz w:val="32"/>
          <w:szCs w:val="32"/>
        </w:rPr>
        <w:t>l know. The more that you learn</w:t>
      </w:r>
      <w:r>
        <w:rPr>
          <w:rFonts w:ascii="Arial Black" w:hAnsi="Arial Black"/>
          <w:sz w:val="32"/>
          <w:szCs w:val="32"/>
        </w:rPr>
        <w:t xml:space="preserve"> the more places you’ll go.” </w:t>
      </w:r>
      <w:r>
        <w:rPr>
          <w:rFonts w:ascii="Arial Black" w:hAnsi="Arial Black"/>
          <w:sz w:val="24"/>
          <w:szCs w:val="24"/>
        </w:rPr>
        <w:t>– Dr. Seuss, “I Can Read With My Eyes Shut!”</w:t>
      </w:r>
    </w:p>
    <w:sectPr w:rsidR="000D32B7" w:rsidRPr="000D32B7" w:rsidSect="000562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8F521D"/>
    <w:multiLevelType w:val="hybridMultilevel"/>
    <w:tmpl w:val="FC50D3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7E"/>
    <w:rsid w:val="00022E9A"/>
    <w:rsid w:val="000562D6"/>
    <w:rsid w:val="000D32B7"/>
    <w:rsid w:val="000D5CB8"/>
    <w:rsid w:val="002E747E"/>
    <w:rsid w:val="00624972"/>
    <w:rsid w:val="007210D3"/>
    <w:rsid w:val="00843D59"/>
    <w:rsid w:val="008450F4"/>
    <w:rsid w:val="008B61A8"/>
    <w:rsid w:val="00B175D6"/>
    <w:rsid w:val="00B50955"/>
    <w:rsid w:val="00B92BE5"/>
    <w:rsid w:val="00C87748"/>
    <w:rsid w:val="00CC6E62"/>
    <w:rsid w:val="00E35804"/>
    <w:rsid w:val="00F12DA4"/>
    <w:rsid w:val="00F57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47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E7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5CB8"/>
    <w:rPr>
      <w:color w:val="0000FF" w:themeColor="hyperlink"/>
      <w:u w:val="single"/>
    </w:rPr>
  </w:style>
  <w:style w:type="character" w:styleId="FollowedHyperlink">
    <w:name w:val="FollowedHyperlink"/>
    <w:basedOn w:val="DefaultParagraphFont"/>
    <w:uiPriority w:val="99"/>
    <w:semiHidden/>
    <w:unhideWhenUsed/>
    <w:rsid w:val="008B61A8"/>
    <w:rPr>
      <w:color w:val="800080" w:themeColor="followedHyperlink"/>
      <w:u w:val="single"/>
    </w:rPr>
  </w:style>
  <w:style w:type="paragraph" w:styleId="BalloonText">
    <w:name w:val="Balloon Text"/>
    <w:basedOn w:val="Normal"/>
    <w:link w:val="BalloonTextChar"/>
    <w:uiPriority w:val="99"/>
    <w:semiHidden/>
    <w:unhideWhenUsed/>
    <w:rsid w:val="000D32B7"/>
    <w:rPr>
      <w:rFonts w:ascii="Tahoma" w:hAnsi="Tahoma" w:cs="Tahoma"/>
      <w:sz w:val="16"/>
      <w:szCs w:val="16"/>
    </w:rPr>
  </w:style>
  <w:style w:type="character" w:customStyle="1" w:styleId="BalloonTextChar">
    <w:name w:val="Balloon Text Char"/>
    <w:basedOn w:val="DefaultParagraphFont"/>
    <w:link w:val="BalloonText"/>
    <w:uiPriority w:val="99"/>
    <w:semiHidden/>
    <w:rsid w:val="000D32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747E"/>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2E7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D5CB8"/>
    <w:rPr>
      <w:color w:val="0000FF" w:themeColor="hyperlink"/>
      <w:u w:val="single"/>
    </w:rPr>
  </w:style>
  <w:style w:type="character" w:styleId="FollowedHyperlink">
    <w:name w:val="FollowedHyperlink"/>
    <w:basedOn w:val="DefaultParagraphFont"/>
    <w:uiPriority w:val="99"/>
    <w:semiHidden/>
    <w:unhideWhenUsed/>
    <w:rsid w:val="008B61A8"/>
    <w:rPr>
      <w:color w:val="800080" w:themeColor="followedHyperlink"/>
      <w:u w:val="single"/>
    </w:rPr>
  </w:style>
  <w:style w:type="paragraph" w:styleId="BalloonText">
    <w:name w:val="Balloon Text"/>
    <w:basedOn w:val="Normal"/>
    <w:link w:val="BalloonTextChar"/>
    <w:uiPriority w:val="99"/>
    <w:semiHidden/>
    <w:unhideWhenUsed/>
    <w:rsid w:val="000D32B7"/>
    <w:rPr>
      <w:rFonts w:ascii="Tahoma" w:hAnsi="Tahoma" w:cs="Tahoma"/>
      <w:sz w:val="16"/>
      <w:szCs w:val="16"/>
    </w:rPr>
  </w:style>
  <w:style w:type="character" w:customStyle="1" w:styleId="BalloonTextChar">
    <w:name w:val="Balloon Text Char"/>
    <w:basedOn w:val="DefaultParagraphFont"/>
    <w:link w:val="BalloonText"/>
    <w:uiPriority w:val="99"/>
    <w:semiHidden/>
    <w:rsid w:val="000D32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summer" TargetMode="External"/><Relationship Id="rId13" Type="http://schemas.openxmlformats.org/officeDocument/2006/relationships/hyperlink" Target="http://www.steele.lib.ny.us/parents.htm" TargetMode="External"/><Relationship Id="rId3" Type="http://schemas.microsoft.com/office/2007/relationships/stylesWithEffects" Target="stylesWithEffects.xml"/><Relationship Id="rId7" Type="http://schemas.openxmlformats.org/officeDocument/2006/relationships/hyperlink" Target="http://www.steele.lib.ny.us/horseheads.htm" TargetMode="External"/><Relationship Id="rId12" Type="http://schemas.openxmlformats.org/officeDocument/2006/relationships/hyperlink" Target="http://kids.baristanet.com/2013/06/read-kiddo-read-ultimate-summer-reading-list-and-giveaw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elnewyork.org/" TargetMode="External"/><Relationship Id="rId11" Type="http://schemas.openxmlformats.org/officeDocument/2006/relationships/hyperlink" Target="https://ny.evanced.info/ccld/sr/homepage.asp?ProgramID=2&amp;PreviewMode=&amp;StyleNa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adingrockets.org/extras/stem_series/" TargetMode="External"/><Relationship Id="rId4" Type="http://schemas.openxmlformats.org/officeDocument/2006/relationships/settings" Target="settings.xml"/><Relationship Id="rId9" Type="http://schemas.openxmlformats.org/officeDocument/2006/relationships/hyperlink" Target="http://www.scholastic.com/summer/pdfs/2013/SCBookList2013_Age3_5_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2014-03-14T18:23:00Z</dcterms:created>
  <dcterms:modified xsi:type="dcterms:W3CDTF">2014-03-14T18:23:00Z</dcterms:modified>
</cp:coreProperties>
</file>